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49582F" w:rsidRPr="005E606A" w:rsidTr="00D23139">
        <w:tc>
          <w:tcPr>
            <w:tcW w:w="3369" w:type="dxa"/>
          </w:tcPr>
          <w:p w:rsidR="0049582F" w:rsidRPr="005E606A" w:rsidRDefault="0049582F" w:rsidP="00D231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E606A">
              <w:rPr>
                <w:rFonts w:ascii="Times New Roman" w:hAnsi="Times New Roman" w:cs="Times New Roman"/>
                <w:sz w:val="24"/>
                <w:szCs w:val="24"/>
              </w:rP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32126118" r:id="rId5"/>
              </w:objec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Број: 404-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565</w: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/201</w: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</w: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  <w:p w:rsidR="0049582F" w:rsidRPr="005E606A" w:rsidRDefault="0049582F" w:rsidP="00D231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Датум: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09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.10</w:t>
            </w: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.2019.године</w:t>
            </w:r>
          </w:p>
        </w:tc>
      </w:tr>
      <w:tr w:rsidR="0049582F" w:rsidRPr="005E606A" w:rsidTr="00D23139">
        <w:tc>
          <w:tcPr>
            <w:tcW w:w="3369" w:type="dxa"/>
          </w:tcPr>
          <w:p w:rsidR="0049582F" w:rsidRPr="005E606A" w:rsidRDefault="0049582F" w:rsidP="00D2313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E606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32126119" r:id="rId7"/>
              </w:object>
            </w:r>
          </w:p>
        </w:tc>
      </w:tr>
    </w:tbl>
    <w:p w:rsidR="0049582F" w:rsidRDefault="0049582F" w:rsidP="0049582F">
      <w:pPr>
        <w:rPr>
          <w:rFonts w:ascii="Times New Roman" w:hAnsi="Times New Roman" w:cs="Times New Roman"/>
          <w:sz w:val="24"/>
          <w:szCs w:val="24"/>
        </w:rPr>
      </w:pPr>
    </w:p>
    <w:p w:rsidR="0072204A" w:rsidRPr="005E606A" w:rsidRDefault="0072204A" w:rsidP="0049582F">
      <w:pPr>
        <w:rPr>
          <w:rFonts w:ascii="Times New Roman" w:hAnsi="Times New Roman" w:cs="Times New Roman"/>
          <w:sz w:val="24"/>
          <w:szCs w:val="24"/>
        </w:rPr>
      </w:pPr>
    </w:p>
    <w:p w:rsidR="0049582F" w:rsidRPr="005E606A" w:rsidRDefault="0049582F" w:rsidP="004958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E606A">
        <w:rPr>
          <w:rFonts w:ascii="Times New Roman" w:hAnsi="Times New Roman" w:cs="Times New Roman"/>
          <w:sz w:val="24"/>
          <w:szCs w:val="24"/>
        </w:rPr>
        <w:tab/>
      </w:r>
      <w:r w:rsidRPr="005E606A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ИЗМЕНА </w:t>
      </w:r>
      <w:r w:rsidRPr="005E606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И ДОПУНА </w:t>
      </w:r>
      <w:r w:rsidR="00656691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КОНКУРСНЕ ДОКУМЕНТАЦИЈЕ БРОЈ 2</w:t>
      </w:r>
    </w:p>
    <w:p w:rsidR="0049582F" w:rsidRPr="005E606A" w:rsidRDefault="0049582F" w:rsidP="0049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49582F" w:rsidRPr="005E606A" w:rsidRDefault="0049582F" w:rsidP="00495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49582F" w:rsidRDefault="0049582F" w:rsidP="00021343">
      <w:pPr>
        <w:suppressAutoHyphens/>
        <w:spacing w:after="0" w:line="100" w:lineRule="atLeast"/>
        <w:ind w:right="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складу са чланом 63. Закона о јавним набавкама („</w:t>
      </w:r>
      <w:r w:rsidRPr="005E60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Службени гласник РС“, бр.124/12</w:t>
      </w:r>
      <w:r w:rsidRPr="005E60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14/15 и 68/15</w:t>
      </w: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Наручилац врши Измену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конкурсне документације број 2</w:t>
      </w:r>
      <w:r w:rsidRPr="005E60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 јавну набавку</w:t>
      </w:r>
      <w:r w:rsidRPr="005E60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E606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5E606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ЈН </w:t>
      </w:r>
      <w:r w:rsidRPr="005E606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 18</w:t>
      </w:r>
      <w:r w:rsidRPr="005E606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/2019-05</w:t>
      </w:r>
      <w:r w:rsidRPr="005E60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5E606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набавка услуге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9C2059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- </w:t>
      </w:r>
      <w:r w:rsidRPr="009C2059">
        <w:rPr>
          <w:rFonts w:ascii="Times New Roman" w:hAnsi="Times New Roman" w:cs="Times New Roman"/>
          <w:sz w:val="24"/>
          <w:szCs w:val="24"/>
          <w:lang w:val="sr-Cyrl-RS"/>
        </w:rPr>
        <w:t>Осигурање имовине, запослених и аутомобила</w:t>
      </w:r>
      <w:r w:rsidRPr="009C2059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и то у делу:</w:t>
      </w:r>
    </w:p>
    <w:p w:rsidR="0049582F" w:rsidRDefault="0049582F" w:rsidP="00021343">
      <w:pPr>
        <w:suppressAutoHyphens/>
        <w:spacing w:after="0" w:line="100" w:lineRule="atLeast"/>
        <w:ind w:right="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49582F" w:rsidRPr="0049582F" w:rsidRDefault="0049582F" w:rsidP="008015F0">
      <w:pPr>
        <w:suppressAutoHyphens/>
        <w:spacing w:after="0" w:line="100" w:lineRule="atLeast"/>
        <w:ind w:right="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5E606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У  поглављу </w:t>
      </w:r>
      <w:r w:rsidRPr="009C2059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II  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„</w:t>
      </w:r>
      <w:r w:rsidRPr="009C2059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ВРСТА, ТЕХНИЧКЕ КАРАКТЕРИСТИКЕ (СПЕЦИФИКАЦИЈЕ)  ОПИС УСЛУГА, НАЧИН СПРОВОЂЕЊА КОНТРОЛЕ И ОБЕЗБЕЂИВАЊА ГАРАНЦИЈЕ КВАЛИТЕТА, РОК ИЗВРШЕЊА И МЕСТО ИЗВРШЕЊА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“,</w:t>
      </w:r>
      <w:r w:rsidR="00795E83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 на страни 4.</w:t>
      </w:r>
      <w:r w:rsidR="0072204A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 конкурсне документације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 у табели за допунске опасности</w:t>
      </w:r>
      <w:r w:rsidR="00795E83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 xml:space="preserve"> (поплава, бујица и високе воде; излив воде из инсталација)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,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49582F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мења се сума осигурања за опрему и залихе</w:t>
      </w:r>
      <w:r w:rsidR="00795E8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, те уместо износа </w:t>
      </w:r>
      <w:r w:rsidR="00795E83"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18.864.308,00</w:t>
      </w:r>
      <w:r w:rsidR="0072204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 треба да стоји износ од</w:t>
      </w:r>
      <w:r w:rsidR="00795E8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795E83"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19.612.320,00</w:t>
      </w:r>
      <w:r w:rsidR="00795E8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 и уместо износа </w:t>
      </w:r>
      <w:r w:rsidR="00795E83"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481.093.024,00</w:t>
      </w:r>
      <w:r w:rsidR="002E7FC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 треба да</w:t>
      </w:r>
      <w:r w:rsidR="0072204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стоји износ од</w:t>
      </w:r>
      <w:r w:rsidR="00795E8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795E83"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673.530.234,00</w:t>
      </w:r>
      <w:r w:rsidR="00795E8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динара. Измењена табела у прилогу.</w:t>
      </w:r>
    </w:p>
    <w:p w:rsidR="0049582F" w:rsidRDefault="0049582F" w:rsidP="008015F0">
      <w:pPr>
        <w:tabs>
          <w:tab w:val="left" w:pos="426"/>
        </w:tabs>
        <w:suppressAutoHyphens/>
        <w:spacing w:after="0" w:line="100" w:lineRule="atLeast"/>
        <w:ind w:left="720" w:right="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Pr="0049582F" w:rsidRDefault="0072204A" w:rsidP="008015F0">
      <w:pPr>
        <w:suppressAutoHyphens/>
        <w:spacing w:after="0" w:line="100" w:lineRule="atLeast"/>
        <w:ind w:right="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На страни 21. конкурсне документације, у Обрасцу структуре цене, 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  <w:t>у табели за допунске опасности (поплава, бујица и високе воде; излив воде из инсталација),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49582F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мења се сума осигурања за опрему и залихе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, те уместо износа </w:t>
      </w:r>
      <w:r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18.864.308,00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 треба да стоји износ од </w:t>
      </w:r>
      <w:r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19.612.320,00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 и уместо износа </w:t>
      </w:r>
      <w:r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481.093.024,00</w:t>
      </w:r>
      <w:r w:rsidR="002E7FC4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="002E7FC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динара треба да</w:t>
      </w:r>
      <w:bookmarkStart w:id="0" w:name="_GoBack"/>
      <w:bookmarkEnd w:id="0"/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стоји износ од </w:t>
      </w:r>
      <w:r w:rsidRPr="00795E8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673.530.234,00</w:t>
      </w:r>
      <w:r w:rsidR="008015F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динара. Измењен образац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у прилогу.</w:t>
      </w:r>
    </w:p>
    <w:p w:rsidR="0072204A" w:rsidRDefault="0072204A" w:rsidP="008015F0">
      <w:pPr>
        <w:tabs>
          <w:tab w:val="left" w:pos="426"/>
        </w:tabs>
        <w:suppressAutoHyphens/>
        <w:spacing w:after="0" w:line="100" w:lineRule="atLeast"/>
        <w:ind w:right="4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49582F">
      <w:pPr>
        <w:tabs>
          <w:tab w:val="left" w:pos="426"/>
        </w:tabs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72204A" w:rsidRDefault="0072204A" w:rsidP="0072204A">
      <w:pPr>
        <w:spacing w:after="0"/>
        <w:ind w:right="288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en-US"/>
        </w:rPr>
      </w:pPr>
    </w:p>
    <w:p w:rsidR="00656691" w:rsidRPr="0072204A" w:rsidRDefault="00656691" w:rsidP="0072204A">
      <w:pPr>
        <w:spacing w:after="0"/>
        <w:ind w:right="288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en-US"/>
        </w:rPr>
      </w:pPr>
    </w:p>
    <w:p w:rsidR="0072204A" w:rsidRPr="00656691" w:rsidRDefault="0072204A" w:rsidP="0072204A">
      <w:pPr>
        <w:shd w:val="clear" w:color="auto" w:fill="C6D9F1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II  ВРСТА, ТЕХНИЧКЕ КАРАКТЕРИСТИКЕ </w:t>
      </w: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(СПЕЦИФИКАЦИЈЕ)  ОПИС </w:t>
      </w: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УСЛУГА, НАЧИН СПРОВОЂЕЊА КОНТРОЛЕ И ОБЕЗБЕЂИВАЊА ГАРАНЦИЈЕ КВАЛИТЕТА, РОК ИЗВРШЕЊА И </w:t>
      </w: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МЕСТО ИЗВРШЕЊА</w:t>
      </w: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  <w:r w:rsidRPr="00656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1.ВРСТА : УСЛУГЕ</w:t>
      </w: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  <w:r w:rsidRPr="00656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2.ТЕХНИЧКЕ СПЕЦИФИКАЦИЈЕ ПО ПАРТИЈАМА:</w:t>
      </w: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  <w:r w:rsidRPr="00656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ПАРТИЈА 1. ОСИГУРАЊ</w:t>
      </w:r>
      <w:r w:rsidRPr="00656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Е</w:t>
      </w:r>
      <w:r w:rsidRPr="006566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 xml:space="preserve"> ИМОВИНЕ</w:t>
      </w: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</w:p>
    <w:p w:rsidR="0072204A" w:rsidRPr="00656691" w:rsidRDefault="0072204A" w:rsidP="0072204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</w:pPr>
      <w:r w:rsidRPr="006566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Опис услуге осигурања имовине </w:t>
      </w:r>
    </w:p>
    <w:p w:rsidR="0072204A" w:rsidRPr="00656691" w:rsidRDefault="0072204A" w:rsidP="0072204A">
      <w:pPr>
        <w:spacing w:after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val="sr-Cyrl-CS"/>
        </w:rPr>
      </w:pPr>
    </w:p>
    <w:p w:rsidR="0072204A" w:rsidRPr="00656691" w:rsidRDefault="0072204A" w:rsidP="0072204A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val="sr-Cyrl-CS"/>
        </w:rPr>
      </w:pPr>
      <w:r w:rsidRPr="00656691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val="sr-Cyrl-CS"/>
        </w:rPr>
        <w:t xml:space="preserve">1) Осигурање од пожара и неких других опасности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2547"/>
        <w:gridCol w:w="3119"/>
        <w:gridCol w:w="2733"/>
      </w:tblGrid>
      <w:tr w:rsidR="0072204A" w:rsidRPr="00656691" w:rsidTr="0072204A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Р.Бр.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ПРЕДМЕТ ОСИГУРАЊА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ОСНОВНЕ ОПАСНОСТИ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СУМА 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ОСИГУРАЊА</w:t>
            </w:r>
          </w:p>
        </w:tc>
      </w:tr>
      <w:tr w:rsidR="0072204A" w:rsidRPr="00656691" w:rsidTr="0072204A">
        <w:trPr>
          <w:trHeight w:hRule="exact" w:val="342"/>
        </w:trPr>
        <w:tc>
          <w:tcPr>
            <w:tcW w:w="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uppressLineNumbers/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ГРАЂЕВИНСКИ ОБЈЕКТИ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пожар, удар грома,експлозија,олуја, град, удар сопств. мот. возила у осиг. грађ. обј., пад летелице, маниф. и демонстрације</w:t>
            </w:r>
          </w:p>
        </w:tc>
        <w:tc>
          <w:tcPr>
            <w:tcW w:w="27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      3.111.871.509,00</w:t>
            </w:r>
          </w:p>
        </w:tc>
      </w:tr>
      <w:tr w:rsidR="0072204A" w:rsidRPr="00656691" w:rsidTr="0072204A">
        <w:trPr>
          <w:trHeight w:val="458"/>
        </w:trPr>
        <w:tc>
          <w:tcPr>
            <w:tcW w:w="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72204A" w:rsidRPr="00656691" w:rsidRDefault="0072204A" w:rsidP="0072204A">
            <w:pPr>
              <w:spacing w:after="0"/>
              <w:ind w:firstLine="709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392.246.396,00</w:t>
            </w:r>
          </w:p>
        </w:tc>
      </w:tr>
      <w:tr w:rsidR="0072204A" w:rsidRPr="00656691" w:rsidTr="0072204A">
        <w:trPr>
          <w:trHeight w:hRule="exact" w:val="320"/>
        </w:trPr>
        <w:tc>
          <w:tcPr>
            <w:tcW w:w="8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ОПРЕМА</w:t>
            </w:r>
          </w:p>
        </w:tc>
        <w:tc>
          <w:tcPr>
            <w:tcW w:w="3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2204A" w:rsidRPr="00656691" w:rsidTr="0072204A">
        <w:trPr>
          <w:trHeight w:val="458"/>
        </w:trPr>
        <w:tc>
          <w:tcPr>
            <w:tcW w:w="8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72204A" w:rsidRPr="00656691" w:rsidRDefault="0072204A" w:rsidP="0072204A">
            <w:pPr>
              <w:spacing w:after="0"/>
              <w:ind w:right="127" w:firstLine="709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>9.621.860.480,00</w:t>
            </w:r>
          </w:p>
        </w:tc>
      </w:tr>
      <w:tr w:rsidR="0072204A" w:rsidRPr="00656691" w:rsidTr="0072204A">
        <w:trPr>
          <w:trHeight w:hRule="exact" w:val="538"/>
        </w:trPr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ЗАЛИХЕ</w:t>
            </w:r>
          </w:p>
        </w:tc>
        <w:tc>
          <w:tcPr>
            <w:tcW w:w="3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72204A" w:rsidRPr="00656691" w:rsidRDefault="0072204A" w:rsidP="0072204A">
      <w:pPr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val="sr-Cyrl-CS" w:eastAsia="ar-SA"/>
        </w:rPr>
      </w:pPr>
    </w:p>
    <w:p w:rsidR="0072204A" w:rsidRPr="00656691" w:rsidRDefault="0072204A" w:rsidP="0072204A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2562"/>
        <w:gridCol w:w="3544"/>
        <w:gridCol w:w="2308"/>
      </w:tblGrid>
      <w:tr w:rsidR="0072204A" w:rsidRPr="00656691" w:rsidTr="0072204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Р.Бр.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ПРЕДМЕТ ОСИГУРАЊА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ДОПУНСКЕ ОПАСНОСТИ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СУМА ОСИГУРАЊА</w:t>
            </w:r>
          </w:p>
        </w:tc>
      </w:tr>
      <w:tr w:rsidR="0072204A" w:rsidRPr="00656691" w:rsidTr="0072204A">
        <w:trPr>
          <w:trHeight w:hRule="exact" w:val="618"/>
        </w:trPr>
        <w:tc>
          <w:tcPr>
            <w:tcW w:w="8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uppressLineNumbers/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ГРАЂЕВИНСКИ ОБЈЕКТИ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</w:t>
            </w:r>
          </w:p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воде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155.593.575,00</w:t>
            </w:r>
          </w:p>
        </w:tc>
      </w:tr>
      <w:tr w:rsidR="0072204A" w:rsidRPr="00656691" w:rsidTr="0072204A">
        <w:tc>
          <w:tcPr>
            <w:tcW w:w="8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инсталaцija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155.593.575,00</w:t>
            </w:r>
          </w:p>
        </w:tc>
      </w:tr>
      <w:tr w:rsidR="0072204A" w:rsidRPr="00656691" w:rsidTr="0072204A">
        <w:trPr>
          <w:trHeight w:hRule="exact" w:val="618"/>
        </w:trPr>
        <w:tc>
          <w:tcPr>
            <w:tcW w:w="8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ОПРЕМА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</w:t>
            </w:r>
          </w:p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воде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72204A" w:rsidRPr="00656691" w:rsidRDefault="00656691" w:rsidP="0072204A">
            <w:pPr>
              <w:spacing w:after="0"/>
              <w:ind w:left="-338" w:firstLine="709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19.612.320</w:t>
            </w:r>
            <w:r w:rsidR="0072204A" w:rsidRP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>,00</w:t>
            </w:r>
          </w:p>
        </w:tc>
      </w:tr>
      <w:tr w:rsidR="0072204A" w:rsidRPr="00656691" w:rsidTr="0072204A">
        <w:tc>
          <w:tcPr>
            <w:tcW w:w="8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инсталaцija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>19.612.320</w:t>
            </w: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>,00</w:t>
            </w:r>
          </w:p>
        </w:tc>
      </w:tr>
      <w:tr w:rsidR="0072204A" w:rsidRPr="00656691" w:rsidTr="0072204A">
        <w:trPr>
          <w:trHeight w:hRule="exact" w:val="342"/>
        </w:trPr>
        <w:tc>
          <w:tcPr>
            <w:tcW w:w="8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uppressLineNumber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ЗАЛИХЕ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 воде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656691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673.530.234</w:t>
            </w:r>
            <w:r w:rsidR="0072204A"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72204A" w:rsidRPr="00656691" w:rsidTr="0072204A">
        <w:trPr>
          <w:trHeight w:hRule="exact" w:val="342"/>
        </w:trPr>
        <w:tc>
          <w:tcPr>
            <w:tcW w:w="8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инсталaцija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656691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673.530.234</w:t>
            </w:r>
            <w:r w:rsidR="0072204A"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72204A" w:rsidRPr="00656691" w:rsidTr="0072204A">
        <w:trPr>
          <w:trHeight w:hRule="exact" w:val="738"/>
        </w:trPr>
        <w:tc>
          <w:tcPr>
            <w:tcW w:w="8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 xml:space="preserve">Исцурење (лекаже) на пуну вредност 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72204A" w:rsidRPr="00656691" w:rsidRDefault="0072204A" w:rsidP="0072204A">
            <w:pPr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1.335.440.027,00</w:t>
            </w:r>
          </w:p>
        </w:tc>
      </w:tr>
      <w:tr w:rsidR="0072204A" w:rsidRPr="00656691" w:rsidTr="0072204A">
        <w:tc>
          <w:tcPr>
            <w:tcW w:w="8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Самозапаљење залиха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      301.132.526,00</w:t>
            </w:r>
          </w:p>
        </w:tc>
      </w:tr>
    </w:tbl>
    <w:p w:rsidR="0072204A" w:rsidRPr="00656691" w:rsidRDefault="0072204A" w:rsidP="0072204A">
      <w:pPr>
        <w:shd w:val="clear" w:color="auto" w:fill="C6D9F1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</w:pP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V-2  ОБРАЗАЦ  </w:t>
      </w:r>
      <w:r w:rsidRPr="00656691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СТРУКТУРЕ ЦЕНЕ СА УПУТСТВОМ КАКО ДА СЕ ПОПУНИ</w:t>
      </w:r>
    </w:p>
    <w:p w:rsidR="0072204A" w:rsidRPr="00656691" w:rsidRDefault="0072204A" w:rsidP="0072204A">
      <w:pPr>
        <w:shd w:val="clear" w:color="auto" w:fill="C6D9F1"/>
        <w:spacing w:after="0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val="sr-Cyrl-CS"/>
        </w:rPr>
      </w:pPr>
    </w:p>
    <w:p w:rsidR="0072204A" w:rsidRPr="00656691" w:rsidRDefault="0072204A" w:rsidP="0072204A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72204A" w:rsidRPr="00656691" w:rsidRDefault="0072204A" w:rsidP="007220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56691">
        <w:rPr>
          <w:rFonts w:ascii="Times New Roman" w:hAnsi="Times New Roman" w:cs="Times New Roman"/>
          <w:bCs/>
          <w:sz w:val="24"/>
          <w:szCs w:val="24"/>
          <w:lang w:val="sr-Cyrl-CS"/>
        </w:rPr>
        <w:t>ПАРТИЈА 1-ОСИГУРАЊЕ ИМОВИНЕ</w:t>
      </w:r>
    </w:p>
    <w:p w:rsidR="0072204A" w:rsidRPr="00656691" w:rsidRDefault="0072204A" w:rsidP="007220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2204A" w:rsidRPr="00656691" w:rsidRDefault="0072204A" w:rsidP="0072204A">
      <w:pPr>
        <w:spacing w:after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  <w:r w:rsidRPr="00656691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>1)</w:t>
      </w:r>
      <w:r w:rsidRPr="00656691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 ОСИГУРАЊЕ ОД ПОЖАРА И НЕКИХ ДРУГИХ ОПАСНОСТИ                                       </w:t>
      </w:r>
    </w:p>
    <w:tbl>
      <w:tblPr>
        <w:tblW w:w="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340"/>
        <w:gridCol w:w="2146"/>
        <w:gridCol w:w="2645"/>
        <w:gridCol w:w="992"/>
        <w:gridCol w:w="1802"/>
      </w:tblGrid>
      <w:tr w:rsidR="0072204A" w:rsidRPr="00656691" w:rsidTr="0072204A">
        <w:trPr>
          <w:trHeight w:val="843"/>
        </w:trPr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Р. бр.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ПРЕДМЕТ ОСИГУРАЊА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ОСНОВНЕ ОПАСНОСТИ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СУМА 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ОСИГУРАЊА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ПРЕМ. 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СТОПА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УКУПНА ПРЕМИЈА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(динара без пореза)</w:t>
            </w:r>
          </w:p>
        </w:tc>
      </w:tr>
      <w:tr w:rsidR="0072204A" w:rsidRPr="00656691" w:rsidTr="0072204A">
        <w:trPr>
          <w:trHeight w:hRule="exact" w:val="342"/>
        </w:trPr>
        <w:tc>
          <w:tcPr>
            <w:tcW w:w="3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pStyle w:val="TableContents"/>
              <w:snapToGrid w:val="0"/>
              <w:rPr>
                <w:rFonts w:eastAsia="Lucida Sans Unicode"/>
                <w:color w:val="auto"/>
                <w:lang w:val="sr-Cyrl-CS"/>
              </w:rPr>
            </w:pPr>
            <w:r w:rsidRPr="00656691">
              <w:rPr>
                <w:rFonts w:eastAsia="Lucida Sans Unicode"/>
                <w:color w:val="auto"/>
                <w:lang w:val="sr-Cyrl-CS"/>
              </w:rPr>
              <w:t>ГРАЂЕВИНСКИ ОБЈЕКТИ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пожар, удар грома, експлозија, олуја, град, удар сопств. мот. возила у осиг. грађ. обј., пад летелице, маниф. и демонстрације</w:t>
            </w:r>
          </w:p>
        </w:tc>
        <w:tc>
          <w:tcPr>
            <w:tcW w:w="2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3.111.871.509,00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val="458"/>
        </w:trPr>
        <w:tc>
          <w:tcPr>
            <w:tcW w:w="75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72204A" w:rsidRPr="00656691">
              <w:trPr>
                <w:trHeight w:hRule="exact" w:val="23"/>
              </w:trPr>
              <w:tc>
                <w:tcPr>
                  <w:tcW w:w="2350" w:type="dxa"/>
                  <w:vMerge w:val="restart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72204A" w:rsidRPr="00656691" w:rsidRDefault="0072204A" w:rsidP="0072204A">
                  <w:pPr>
                    <w:snapToGrid w:val="0"/>
                    <w:spacing w:after="0"/>
                    <w:jc w:val="center"/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shd w:val="clear" w:color="auto" w:fill="FFFFFF"/>
                      <w:lang w:val="sr-Latn-CS"/>
                    </w:rPr>
                  </w:pPr>
                  <w:r w:rsidRPr="00656691">
                    <w:rPr>
                      <w:rFonts w:ascii="Times New Roman" w:eastAsia="Lucida Sans Unicode" w:hAnsi="Times New Roman" w:cs="Times New Roman"/>
                      <w:sz w:val="24"/>
                      <w:szCs w:val="24"/>
                      <w:shd w:val="clear" w:color="auto" w:fill="FFFFFF"/>
                      <w:lang w:val="sr-Latn-CS"/>
                    </w:rPr>
                    <w:t xml:space="preserve">    392.246.396,00</w:t>
                  </w:r>
                </w:p>
              </w:tc>
            </w:tr>
            <w:tr w:rsidR="0072204A" w:rsidRPr="00656691">
              <w:trPr>
                <w:trHeight w:hRule="exact" w:val="320"/>
              </w:trPr>
              <w:tc>
                <w:tcPr>
                  <w:tcW w:w="2350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72204A" w:rsidRPr="00656691" w:rsidRDefault="0072204A" w:rsidP="0072204A">
                  <w:pPr>
                    <w:spacing w:after="0" w:line="256" w:lineRule="auto"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  <w:shd w:val="clear" w:color="auto" w:fill="FFFFFF"/>
                      <w:lang w:val="sr-Latn-CS" w:eastAsia="ar-SA"/>
                    </w:rPr>
                  </w:pPr>
                </w:p>
              </w:tc>
            </w:tr>
          </w:tbl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hRule="exact" w:val="67"/>
        </w:trPr>
        <w:tc>
          <w:tcPr>
            <w:tcW w:w="3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ОПРЕМА</w:t>
            </w:r>
          </w:p>
        </w:tc>
        <w:tc>
          <w:tcPr>
            <w:tcW w:w="21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</w:tr>
      <w:tr w:rsidR="0072204A" w:rsidRPr="00656691" w:rsidTr="0072204A">
        <w:trPr>
          <w:trHeight w:val="458"/>
        </w:trPr>
        <w:tc>
          <w:tcPr>
            <w:tcW w:w="75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6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  <w:p w:rsidR="0072204A" w:rsidRPr="00656691" w:rsidRDefault="0072204A" w:rsidP="0072204A">
            <w:pPr>
              <w:spacing w:after="0"/>
              <w:ind w:left="-245" w:firstLine="709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9.621.860.480,00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hRule="exact" w:val="606"/>
        </w:trPr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ЗАЛИХЕ</w:t>
            </w:r>
          </w:p>
        </w:tc>
        <w:tc>
          <w:tcPr>
            <w:tcW w:w="21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</w:tr>
      <w:tr w:rsidR="0072204A" w:rsidRPr="00656691" w:rsidTr="0072204A">
        <w:tc>
          <w:tcPr>
            <w:tcW w:w="7514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УКУПНА ГОДИШЊА ПРЕМИЈА ОСИГУРАЊА ЗА ОСНОВНЕ РИЗИКЕ (1+2+3) дин. без пореза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18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5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CS"/>
              </w:rPr>
              <w:t>УКУПНА ПРЕМИЈА ОСИГУРАЊА за 24 месеца ЗА ОСНОВНЕ РИЗИКЕ</w:t>
            </w:r>
          </w:p>
        </w:tc>
        <w:tc>
          <w:tcPr>
            <w:tcW w:w="27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</w:tbl>
    <w:p w:rsidR="0072204A" w:rsidRPr="00656691" w:rsidRDefault="0072204A" w:rsidP="0072204A">
      <w:pPr>
        <w:spacing w:after="0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6566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</w:t>
      </w:r>
    </w:p>
    <w:p w:rsidR="0072204A" w:rsidRPr="00656691" w:rsidRDefault="0072204A" w:rsidP="0072204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66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tbl>
      <w:tblPr>
        <w:tblW w:w="0" w:type="dxa"/>
        <w:tblInd w:w="-4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2170"/>
        <w:gridCol w:w="2268"/>
        <w:gridCol w:w="2409"/>
        <w:gridCol w:w="908"/>
        <w:gridCol w:w="2215"/>
      </w:tblGrid>
      <w:tr w:rsidR="0072204A" w:rsidRPr="00656691" w:rsidTr="0072204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Р. бр.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ПРЕДМЕТ ОСИГУРАЊА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ДОПУНСКЕ ОПАСНОСТИ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СУМА ОСИГУРАЊА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ПРЕМ. 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СТОПА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УКУПНА ПРЕМИЈА</w:t>
            </w:r>
          </w:p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(динара без пореза)</w:t>
            </w:r>
          </w:p>
        </w:tc>
      </w:tr>
      <w:tr w:rsidR="0072204A" w:rsidRPr="00656691" w:rsidTr="0072204A">
        <w:trPr>
          <w:trHeight w:hRule="exact" w:val="870"/>
        </w:trPr>
        <w:tc>
          <w:tcPr>
            <w:tcW w:w="4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pStyle w:val="TableContents"/>
              <w:snapToGrid w:val="0"/>
              <w:jc w:val="center"/>
              <w:rPr>
                <w:rFonts w:eastAsia="Lucida Sans Unicode"/>
                <w:color w:val="auto"/>
                <w:lang w:val="sr-Cyrl-CS"/>
              </w:rPr>
            </w:pPr>
            <w:r w:rsidRPr="00656691">
              <w:rPr>
                <w:rFonts w:eastAsia="Lucida Sans Unicode"/>
                <w:color w:val="auto"/>
                <w:lang w:val="sr-Cyrl-CS"/>
              </w:rPr>
              <w:t>1.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pStyle w:val="TableContents"/>
              <w:snapToGrid w:val="0"/>
              <w:rPr>
                <w:rFonts w:eastAsia="Lucida Sans Unicode"/>
                <w:color w:val="auto"/>
                <w:lang w:val="sr-Cyrl-CS"/>
              </w:rPr>
            </w:pPr>
            <w:r w:rsidRPr="00656691">
              <w:rPr>
                <w:rFonts w:eastAsia="Lucida Sans Unicode"/>
                <w:color w:val="auto"/>
                <w:lang w:val="sr-Cyrl-CS"/>
              </w:rPr>
              <w:t>ГРАЂЕВИНСКИ ОБЈЕКТИ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</w:t>
            </w:r>
          </w:p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воде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</w:p>
          <w:p w:rsidR="0072204A" w:rsidRPr="00656691" w:rsidRDefault="0072204A" w:rsidP="0072204A">
            <w:pPr>
              <w:spacing w:after="0"/>
              <w:ind w:firstLine="709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155.593.575,00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инсталaциja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   155.593.575,00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8015F0">
        <w:trPr>
          <w:trHeight w:hRule="exact" w:val="1191"/>
        </w:trPr>
        <w:tc>
          <w:tcPr>
            <w:tcW w:w="4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pStyle w:val="TableContents"/>
              <w:snapToGrid w:val="0"/>
              <w:jc w:val="center"/>
              <w:rPr>
                <w:rFonts w:eastAsia="Lucida Sans Unicode"/>
                <w:color w:val="auto"/>
                <w:lang w:val="sr-Cyrl-CS"/>
              </w:rPr>
            </w:pPr>
            <w:r w:rsidRPr="00656691">
              <w:rPr>
                <w:rFonts w:eastAsia="Lucida Sans Unicode"/>
                <w:color w:val="auto"/>
                <w:lang w:val="sr-Cyrl-CS"/>
              </w:rPr>
              <w:t>2.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ОПРЕМА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</w:t>
            </w:r>
          </w:p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воде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RS"/>
              </w:rPr>
            </w:pPr>
          </w:p>
          <w:p w:rsidR="0072204A" w:rsidRPr="00656691" w:rsidRDefault="0072204A" w:rsidP="0072204A">
            <w:pPr>
              <w:spacing w:after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   19.612.320,00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val="445"/>
        </w:trPr>
        <w:tc>
          <w:tcPr>
            <w:tcW w:w="7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инсталaциja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R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     19.612.320,00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hRule="exact" w:val="617"/>
        </w:trPr>
        <w:tc>
          <w:tcPr>
            <w:tcW w:w="4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pStyle w:val="TableContents"/>
              <w:snapToGrid w:val="0"/>
              <w:jc w:val="center"/>
              <w:rPr>
                <w:rFonts w:eastAsia="Lucida Sans Unicode"/>
                <w:color w:val="auto"/>
                <w:lang w:val="sr-Cyrl-CS"/>
              </w:rPr>
            </w:pPr>
            <w:r w:rsidRPr="00656691">
              <w:rPr>
                <w:rFonts w:eastAsia="Lucida Sans Unicode"/>
                <w:color w:val="auto"/>
                <w:lang w:val="sr-Cyrl-CS"/>
              </w:rPr>
              <w:t>3.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ЗАЛИХЕ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Поплава, бујица и високе воде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673.530.234,00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hRule="exact" w:val="617"/>
        </w:trPr>
        <w:tc>
          <w:tcPr>
            <w:tcW w:w="7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Излив воде из инсталaциja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  <w:shd w:val="clear" w:color="auto" w:fill="FFFFFF"/>
                <w:lang w:val="sr-Cyrl-CS"/>
              </w:rPr>
            </w:pPr>
          </w:p>
          <w:p w:rsidR="0072204A" w:rsidRPr="00656691" w:rsidRDefault="0072204A" w:rsidP="0072204A">
            <w:pPr>
              <w:spacing w:after="0"/>
              <w:ind w:firstLine="512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highlight w:val="yellow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673.530.234,00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rPr>
          <w:trHeight w:hRule="exact" w:val="617"/>
        </w:trPr>
        <w:tc>
          <w:tcPr>
            <w:tcW w:w="7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 xml:space="preserve">Исцурење лекаже на пуну вредност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tabs>
                <w:tab w:val="left" w:pos="315"/>
                <w:tab w:val="left" w:pos="660"/>
              </w:tabs>
              <w:snapToGrid w:val="0"/>
              <w:spacing w:after="0"/>
              <w:ind w:left="-197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ab/>
            </w: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1.335.440.027,00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204A" w:rsidRPr="00656691" w:rsidRDefault="0072204A" w:rsidP="0072204A">
            <w:pPr>
              <w:spacing w:after="0" w:line="25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shd w:val="clear" w:color="auto" w:fill="FFFFFF"/>
                <w:lang w:val="sr-Cyrl-CS"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Самозапаљење залиха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301.132.526,00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28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sr-Cyrl-CS"/>
              </w:rPr>
              <w:t>УКУПНА ГОДИШЊА ПРЕМИЈА ОСИГУРАЊА ЗА ДОПУНСКЕ РИЗИКЕ (1+2+3) дин. без пореза)</w:t>
            </w:r>
          </w:p>
        </w:tc>
        <w:tc>
          <w:tcPr>
            <w:tcW w:w="9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  <w:tc>
          <w:tcPr>
            <w:tcW w:w="22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28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УКУПНА ПРЕМИЈА ОСИГУРАЊА за 24 месеца ЗА ДОПУНСКЕ РИЗИКЕ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</w:p>
        </w:tc>
      </w:tr>
      <w:tr w:rsidR="0072204A" w:rsidRPr="00656691" w:rsidTr="0072204A"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204A" w:rsidRPr="00656691" w:rsidRDefault="0072204A" w:rsidP="0072204A">
            <w:pPr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56691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УКУПНА ПРЕМИЈА ОСИГУРАЊА,   ЗА ОСНОВНЕ И ДОПУНСКЕ РИЗИКЕ – за 24 месеца  ( динара без пореза):</w:t>
            </w:r>
          </w:p>
        </w:tc>
        <w:tc>
          <w:tcPr>
            <w:tcW w:w="3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04A" w:rsidRPr="00656691" w:rsidRDefault="0072204A" w:rsidP="0072204A">
            <w:pPr>
              <w:pStyle w:val="TableContents"/>
              <w:snapToGrid w:val="0"/>
              <w:rPr>
                <w:rFonts w:eastAsia="Lucida Sans Unicode"/>
                <w:color w:val="auto"/>
                <w:lang w:val="sr-Cyrl-CS"/>
              </w:rPr>
            </w:pPr>
          </w:p>
        </w:tc>
      </w:tr>
    </w:tbl>
    <w:p w:rsidR="0072204A" w:rsidRPr="00021343" w:rsidRDefault="0072204A" w:rsidP="00021343">
      <w:pPr>
        <w:tabs>
          <w:tab w:val="left" w:pos="0"/>
        </w:tabs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hAnsi="Times New Roman" w:cs="Times New Roman"/>
        </w:rPr>
        <w:t>Г</w:t>
      </w:r>
      <w:r w:rsidRPr="00021343">
        <w:rPr>
          <w:rFonts w:ascii="Times New Roman" w:eastAsia="Lucida Sans Unicode" w:hAnsi="Times New Roman" w:cs="Times New Roman"/>
          <w:lang w:val="sr-Cyrl-CS"/>
        </w:rPr>
        <w:t>рађевински објекти осигурани од пожара и неких других опасности са допунским ризицима спадају у грађевинску категорију – чврста грађа.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lang w:val="sr-Cyrl-CS"/>
        </w:rPr>
        <w:t>1</w:t>
      </w:r>
      <w:r w:rsidRPr="00021343">
        <w:rPr>
          <w:rFonts w:ascii="Times New Roman" w:eastAsia="Lucida Sans Unicode" w:hAnsi="Times New Roman" w:cs="Times New Roman"/>
          <w:lang w:val="sr-Cyrl-CS"/>
        </w:rPr>
        <w:t xml:space="preserve">. Вредност „првог ризика“  за изливање воде из инсталација и за поплаву , бујицу  и високе воде  износи  по 5% од вредности грађевинских објеката и опреме исказаних за основне ризике односно за осигурање од пожара.  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lang w:val="sr-Cyrl-CS"/>
        </w:rPr>
        <w:t>2</w:t>
      </w:r>
      <w:r w:rsidRPr="00021343">
        <w:rPr>
          <w:rFonts w:ascii="Times New Roman" w:eastAsia="Lucida Sans Unicode" w:hAnsi="Times New Roman" w:cs="Times New Roman"/>
          <w:lang w:val="sr-Cyrl-CS"/>
        </w:rPr>
        <w:t>.Вредност “ првог ризика „ за изливање воде из инсталацијe, за поплаву , бујицу и високе воде и самозапаљење залиха  износи по 7% од вредности  залиха исказане за основне ризике  односно за осигурање од пожара.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eastAsia="Lucida Sans Unicode" w:hAnsi="Times New Roman" w:cs="Times New Roman"/>
          <w:lang w:val="sr-Cyrl-CS"/>
        </w:rPr>
        <w:t>Самозапаље залиха обухвата пшеницу и кукуруз.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lang w:val="sr-Cyrl-CS"/>
        </w:rPr>
        <w:t>3.</w:t>
      </w:r>
      <w:r w:rsidRPr="00021343">
        <w:rPr>
          <w:rFonts w:ascii="Times New Roman" w:eastAsia="Lucida Sans Unicode" w:hAnsi="Times New Roman" w:cs="Times New Roman"/>
          <w:lang w:val="sr-Cyrl-CS"/>
        </w:rPr>
        <w:t xml:space="preserve">Код исцурења (лекаже) на „пуну вредност “ за   део залиха,  осигурава се вредност залиха исказане за основне ризике, односно за осигурање од пожара  </w:t>
      </w:r>
    </w:p>
    <w:p w:rsid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lang w:val="sr-Cyrl-CS"/>
        </w:rPr>
        <w:t>4</w:t>
      </w:r>
      <w:r w:rsidRPr="00021343">
        <w:rPr>
          <w:rFonts w:ascii="Times New Roman" w:eastAsia="Lucida Sans Unicode" w:hAnsi="Times New Roman" w:cs="Times New Roman"/>
          <w:lang w:val="sr-Cyrl-CS"/>
        </w:rPr>
        <w:t>.Сума осигурања грађевинских објеката и опреме је исказана по набавној  вредности  а  за залихе робе по књиговоственим вредностима.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lang w:val="sr-Cyrl-CS"/>
        </w:rPr>
      </w:pPr>
    </w:p>
    <w:p w:rsidR="00021343" w:rsidRPr="00021343" w:rsidRDefault="00021343" w:rsidP="00021343">
      <w:pPr>
        <w:jc w:val="both"/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  <w:t>2) ОСИГУРАЊЕ МАШИНА ОД ЛОМА</w:t>
      </w:r>
    </w:p>
    <w:tbl>
      <w:tblPr>
        <w:tblW w:w="103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550"/>
        <w:gridCol w:w="809"/>
        <w:gridCol w:w="1140"/>
        <w:gridCol w:w="1537"/>
        <w:gridCol w:w="1493"/>
        <w:gridCol w:w="2206"/>
      </w:tblGrid>
      <w:tr w:rsidR="00021343" w:rsidRPr="00021343" w:rsidTr="00021343">
        <w:trPr>
          <w:trHeight w:hRule="exact" w:val="30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Сума осигурања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Прем. стопа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Премија за основне ризике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Доплаци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УКУПНА</w:t>
            </w: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ГОДИШЊА</w:t>
            </w:r>
          </w:p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ПРЕМИЈА</w:t>
            </w:r>
          </w:p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(динара без пореза)</w:t>
            </w:r>
          </w:p>
        </w:tc>
      </w:tr>
      <w:tr w:rsidR="00021343" w:rsidRPr="00021343" w:rsidTr="00021343">
        <w:trPr>
          <w:trHeight w:hRule="exact" w:val="858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За откуп амортизованe вредности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За откуп одбитне франшизе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43" w:rsidRPr="00021343" w:rsidTr="00021343">
        <w:trPr>
          <w:trHeight w:val="367"/>
        </w:trPr>
        <w:tc>
          <w:tcPr>
            <w:tcW w:w="16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Све машине, апарати и уређаји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hAnsi="Times New Roman" w:cs="Times New Roman"/>
                <w:sz w:val="24"/>
                <w:szCs w:val="24"/>
              </w:rPr>
              <w:t>14.960.239,00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1343" w:rsidRPr="00021343" w:rsidTr="00D23139">
        <w:trPr>
          <w:trHeight w:val="367"/>
        </w:trPr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УКУПНА ПРЕМИЈА  ЗА ОСИГУРАЊЕ </w:t>
            </w:r>
            <w:r w:rsidRPr="000213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sr-Cyrl-CS"/>
              </w:rPr>
              <w:t>МАШИНА ОД ЛОМА  за 24 месеца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1343" w:rsidRDefault="00021343" w:rsidP="00021343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</w:pPr>
    </w:p>
    <w:p w:rsidR="00021343" w:rsidRDefault="00021343" w:rsidP="00021343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</w:pPr>
    </w:p>
    <w:p w:rsidR="00021343" w:rsidRPr="00021343" w:rsidRDefault="00021343" w:rsidP="00021343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sz w:val="24"/>
          <w:szCs w:val="24"/>
          <w:lang w:val="sr-Cyrl-CS"/>
        </w:rPr>
        <w:lastRenderedPageBreak/>
        <w:t xml:space="preserve">3) КОМБИНОВАНО ОСИГУРАЊЕ ЕЛЕКТРОНСКИХ РАЧУНАРА   </w:t>
      </w:r>
    </w:p>
    <w:tbl>
      <w:tblPr>
        <w:tblW w:w="1043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564"/>
        <w:gridCol w:w="794"/>
        <w:gridCol w:w="1140"/>
        <w:gridCol w:w="1395"/>
        <w:gridCol w:w="1636"/>
        <w:gridCol w:w="2281"/>
      </w:tblGrid>
      <w:tr w:rsidR="00021343" w:rsidRPr="00021343" w:rsidTr="00021343">
        <w:trPr>
          <w:trHeight w:hRule="exact" w:val="30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Сума осигурања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Прем. стопа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Премија за основне ризике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Доплаци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УКУПНА</w:t>
            </w: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ГОДИШЊА</w:t>
            </w:r>
          </w:p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ПРЕМИЈА</w:t>
            </w:r>
          </w:p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(динара без пореза)</w:t>
            </w:r>
          </w:p>
        </w:tc>
      </w:tr>
      <w:tr w:rsidR="00021343" w:rsidRPr="00021343" w:rsidTr="00021343">
        <w:trPr>
          <w:trHeight w:hRule="exact" w:val="942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За откуп амортизованe вредности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За откуп одбитне франшизе</w:t>
            </w: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343" w:rsidRPr="00021343" w:rsidRDefault="00021343" w:rsidP="000213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43" w:rsidRPr="00021343" w:rsidTr="00021343">
        <w:trPr>
          <w:trHeight w:val="810"/>
        </w:trPr>
        <w:tc>
          <w:tcPr>
            <w:tcW w:w="16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Електронски рачунари са пратећом опремом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>27.089.825,00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1343" w:rsidRPr="00021343" w:rsidTr="00D23139">
        <w:trPr>
          <w:trHeight w:val="810"/>
        </w:trPr>
        <w:tc>
          <w:tcPr>
            <w:tcW w:w="81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sr-Cyrl-CS"/>
              </w:rPr>
            </w:pPr>
            <w:r w:rsidRPr="0002134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УКУПНА ПРЕМИЈА  ЗА </w:t>
            </w:r>
            <w:r w:rsidRPr="0002134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sr-Cyrl-CS"/>
              </w:rPr>
              <w:t>КОМБИНОВАНО ОСИГУРАЊЕ ЕЛЕКТРОНСКИХ РАЧУНАРА за 24 месеца</w:t>
            </w:r>
          </w:p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343" w:rsidRPr="00021343" w:rsidRDefault="00021343" w:rsidP="000213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РЕКАПИТУЛАЦИЈА: </w:t>
      </w: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1) ОСИГУРАЊЕ ОД ПОЖАРА И НЕКИХ ДРУГИХ ОПАСНОСТИ                                       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                                         2</w:t>
      </w: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) </w:t>
      </w: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ОСИГУРАЊЕ МАШИНЕ ОД ЛОМА                                      </w:t>
      </w:r>
    </w:p>
    <w:p w:rsidR="00021343" w:rsidRPr="00021343" w:rsidRDefault="00021343" w:rsidP="00021343">
      <w:pPr>
        <w:spacing w:after="0"/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        3)</w:t>
      </w: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 xml:space="preserve">КОМБИНОВАНО ОСИГУРАЊЕ ЕЛЕКТРОНСКИХ РАЧУНАРА                                       </w:t>
      </w:r>
    </w:p>
    <w:p w:rsidR="00021343" w:rsidRPr="00021343" w:rsidRDefault="00021343" w:rsidP="00021343">
      <w:pP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</w:p>
    <w:p w:rsidR="00021343" w:rsidRPr="00021343" w:rsidRDefault="00021343" w:rsidP="00021343">
      <w:pP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УКУПНА ПРЕМИЈА ОСИГУРАЊА  ИМОВИНЕ </w:t>
      </w: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 xml:space="preserve">ЗА 24 МЕСЕЦА </w:t>
      </w: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>(1+2+3) ИЗНОСИ:</w:t>
      </w:r>
    </w:p>
    <w:p w:rsidR="00021343" w:rsidRPr="00021343" w:rsidRDefault="00021343" w:rsidP="00021343">
      <w:pP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>________________________________  динара без пореза.</w:t>
      </w:r>
    </w:p>
    <w:p w:rsidR="00021343" w:rsidRPr="00021343" w:rsidRDefault="00021343" w:rsidP="00021343">
      <w:pP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>( Понуђена цена)-висина премије</w:t>
      </w:r>
    </w:p>
    <w:p w:rsidR="00021343" w:rsidRPr="00021343" w:rsidRDefault="00021343" w:rsidP="00021343">
      <w:pPr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</w:pPr>
    </w:p>
    <w:p w:rsidR="00021343" w:rsidRPr="00021343" w:rsidRDefault="00021343" w:rsidP="00021343">
      <w:pPr>
        <w:jc w:val="both"/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</w:pPr>
      <w:r w:rsidRPr="00021343">
        <w:rPr>
          <w:rFonts w:ascii="Times New Roman" w:eastAsia="Lucida Sans Unicode" w:hAnsi="Times New Roman" w:cs="Times New Roman"/>
          <w:b/>
          <w:bCs/>
          <w:sz w:val="24"/>
          <w:szCs w:val="24"/>
          <w:lang w:val="sr-Cyrl-CS"/>
        </w:rPr>
        <w:t xml:space="preserve">Упутство: </w:t>
      </w:r>
      <w:r w:rsidRPr="00021343">
        <w:rPr>
          <w:rFonts w:ascii="Times New Roman" w:eastAsia="Lucida Sans Unicode" w:hAnsi="Times New Roman" w:cs="Times New Roman"/>
          <w:bCs/>
          <w:sz w:val="24"/>
          <w:szCs w:val="24"/>
          <w:lang w:val="sr-Cyrl-CS"/>
        </w:rPr>
        <w:t>Понуђач је дужан да попуни све ставке из овог обрасца, у супротном понуда ће бити одбијена као неприхватљива.</w:t>
      </w:r>
    </w:p>
    <w:p w:rsidR="00021343" w:rsidRPr="00021343" w:rsidRDefault="00021343" w:rsidP="00021343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 xml:space="preserve">Датум </w:t>
      </w: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                                        Понуђач</w:t>
      </w:r>
    </w:p>
    <w:p w:rsidR="00021343" w:rsidRPr="00021343" w:rsidRDefault="00021343" w:rsidP="00021343">
      <w:pPr>
        <w:ind w:left="288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1343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</w:t>
      </w:r>
    </w:p>
    <w:p w:rsidR="00021343" w:rsidRPr="00021343" w:rsidRDefault="00021343" w:rsidP="00021343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</w:pP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  <w:t>_________________</w:t>
      </w: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</w:t>
      </w: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ab/>
      </w: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  <w:lang w:val="sr-Cyrl-RS"/>
        </w:rPr>
        <w:t xml:space="preserve">           </w:t>
      </w:r>
      <w:r w:rsidRPr="00021343">
        <w:rPr>
          <w:rFonts w:ascii="Times New Roman" w:eastAsia="TimesNewRomanPS-BoldMT" w:hAnsi="Times New Roman" w:cs="Times New Roman"/>
          <w:b/>
          <w:bCs/>
          <w:i/>
          <w:iCs/>
          <w:color w:val="002060"/>
          <w:sz w:val="24"/>
          <w:szCs w:val="24"/>
        </w:rPr>
        <w:t xml:space="preserve">       ____________________________</w:t>
      </w:r>
    </w:p>
    <w:p w:rsidR="00021343" w:rsidRPr="00021343" w:rsidRDefault="00021343" w:rsidP="0002134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3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Напомене:</w:t>
      </w:r>
      <w:r w:rsidRPr="00021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21343" w:rsidRPr="00021343" w:rsidRDefault="00021343" w:rsidP="00021343">
      <w:pPr>
        <w:jc w:val="both"/>
        <w:rPr>
          <w:rFonts w:ascii="Times New Roman" w:hAnsi="Times New Roman" w:cs="Times New Roman"/>
          <w:i/>
          <w:iCs/>
        </w:rPr>
      </w:pPr>
      <w:r w:rsidRPr="00021343">
        <w:rPr>
          <w:rFonts w:ascii="Times New Roman" w:hAnsi="Times New Roman" w:cs="Times New Roman"/>
          <w:i/>
          <w:iCs/>
        </w:rPr>
        <w:t xml:space="preserve">Образац понуде понуђач мора да попуни  и потпише, чиме </w:t>
      </w:r>
      <w:r w:rsidRPr="00021343">
        <w:rPr>
          <w:rFonts w:ascii="Times New Roman" w:hAnsi="Times New Roman" w:cs="Times New Roman"/>
          <w:i/>
          <w:iCs/>
          <w:lang w:val="sr-Cyrl-CS"/>
        </w:rPr>
        <w:t>п</w:t>
      </w:r>
      <w:r w:rsidRPr="00021343">
        <w:rPr>
          <w:rFonts w:ascii="Times New Roman" w:hAnsi="Times New Roman" w:cs="Times New Roman"/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сви понуђачи из групе понуђача или група понуђача може</w:t>
      </w:r>
      <w:r w:rsidRPr="00021343">
        <w:rPr>
          <w:rFonts w:ascii="Times New Roman" w:hAnsi="Times New Roman" w:cs="Times New Roman"/>
          <w:i/>
          <w:iCs/>
          <w:lang w:val="sr-Cyrl-RS"/>
        </w:rPr>
        <w:t xml:space="preserve"> споразумом</w:t>
      </w:r>
      <w:r w:rsidRPr="00021343">
        <w:rPr>
          <w:rFonts w:ascii="Times New Roman" w:hAnsi="Times New Roman" w:cs="Times New Roman"/>
          <w:i/>
          <w:iCs/>
        </w:rPr>
        <w:t xml:space="preserve"> да одреди </w:t>
      </w:r>
      <w:r w:rsidRPr="00021343">
        <w:rPr>
          <w:rFonts w:ascii="Times New Roman" w:hAnsi="Times New Roman" w:cs="Times New Roman"/>
          <w:i/>
          <w:iCs/>
          <w:lang w:val="sr-Cyrl-RS"/>
        </w:rPr>
        <w:t>носиоца посла</w:t>
      </w:r>
      <w:r w:rsidRPr="00021343">
        <w:rPr>
          <w:rFonts w:ascii="Times New Roman" w:hAnsi="Times New Roman" w:cs="Times New Roman"/>
          <w:i/>
          <w:iCs/>
        </w:rPr>
        <w:t xml:space="preserve"> који ће попунити и потписати образац понуде.</w:t>
      </w:r>
    </w:p>
    <w:p w:rsidR="0049582F" w:rsidRPr="00021343" w:rsidRDefault="0049582F" w:rsidP="00021343">
      <w:pPr>
        <w:tabs>
          <w:tab w:val="left" w:pos="426"/>
        </w:tabs>
        <w:suppressAutoHyphens/>
        <w:spacing w:line="100" w:lineRule="atLeast"/>
        <w:ind w:left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</w:p>
    <w:p w:rsidR="00EA7CF8" w:rsidRPr="00021343" w:rsidRDefault="00EA7CF8" w:rsidP="00021343">
      <w:pPr>
        <w:ind w:right="4"/>
        <w:rPr>
          <w:rFonts w:ascii="Times New Roman" w:hAnsi="Times New Roman" w:cs="Times New Roman"/>
          <w:sz w:val="24"/>
          <w:szCs w:val="24"/>
        </w:rPr>
      </w:pPr>
    </w:p>
    <w:sectPr w:rsidR="00EA7CF8" w:rsidRPr="00021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8"/>
    <w:rsid w:val="00021343"/>
    <w:rsid w:val="002E7FC4"/>
    <w:rsid w:val="0049582F"/>
    <w:rsid w:val="00656691"/>
    <w:rsid w:val="0072204A"/>
    <w:rsid w:val="00795E83"/>
    <w:rsid w:val="007D40E8"/>
    <w:rsid w:val="008015F0"/>
    <w:rsid w:val="00E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69B5-6872-4DB4-8BF7-4D2EE0BE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2F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2204A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2019-10-09T06:50:00Z</dcterms:created>
  <dcterms:modified xsi:type="dcterms:W3CDTF">2019-10-09T09:36:00Z</dcterms:modified>
</cp:coreProperties>
</file>